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方正小标宋简体"/>
          <w:sz w:val="44"/>
          <w:szCs w:val="44"/>
        </w:rPr>
      </w:pPr>
      <w:r>
        <w:rPr>
          <w:rFonts w:hint="eastAsia" w:ascii="黑体" w:hAnsi="黑体" w:eastAsia="黑体" w:cs="方正小标宋简体"/>
          <w:sz w:val="44"/>
          <w:szCs w:val="44"/>
        </w:rPr>
        <w:t>《商贸物流企业绿色管理规范》</w:t>
      </w:r>
    </w:p>
    <w:p>
      <w:pPr>
        <w:jc w:val="center"/>
        <w:rPr>
          <w:rFonts w:ascii="黑体" w:hAnsi="黑体" w:eastAsia="黑体" w:cs="方正小标宋简体"/>
          <w:sz w:val="44"/>
          <w:szCs w:val="44"/>
        </w:rPr>
      </w:pPr>
      <w:r>
        <w:rPr>
          <w:rFonts w:hint="eastAsia" w:ascii="黑体" w:hAnsi="黑体" w:eastAsia="黑体" w:cs="方正小标宋简体"/>
          <w:sz w:val="44"/>
          <w:szCs w:val="44"/>
        </w:rPr>
        <w:t>地方标准编制说明</w:t>
      </w:r>
    </w:p>
    <w:p>
      <w:pPr>
        <w:rPr>
          <w:rFonts w:ascii="黑体" w:hAnsi="黑体" w:eastAsia="黑体"/>
        </w:rPr>
      </w:pPr>
    </w:p>
    <w:p>
      <w:pPr>
        <w:ind w:firstLine="640" w:firstLineChars="200"/>
        <w:rPr>
          <w:rFonts w:ascii="黑体" w:hAnsi="黑体" w:eastAsia="黑体" w:cs="仿宋_GB2312"/>
          <w:sz w:val="32"/>
          <w:szCs w:val="32"/>
        </w:rPr>
      </w:pPr>
      <w:r>
        <w:rPr>
          <w:rFonts w:hint="eastAsia" w:ascii="黑体" w:hAnsi="黑体" w:eastAsia="黑体" w:cs="仿宋_GB2312"/>
          <w:sz w:val="32"/>
          <w:szCs w:val="32"/>
        </w:rPr>
        <w:t>一、工作简况</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1.任务来源</w:t>
      </w:r>
    </w:p>
    <w:p>
      <w:pPr>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本任务来源于《辽宁省市场监督管理局关于印发2022年辽宁省地方标准立项计划的通知》（辽市监发〔2022〕20号），立项编号：2022264。</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2.立项的必要性和意义</w:t>
      </w:r>
    </w:p>
    <w:p>
      <w:pPr>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2014年《商务部关于大力发展绿色流通的指导意见》（商流通函〔2014〕792号）提出完善流通领域重</w:t>
      </w:r>
      <w:bookmarkStart w:id="6" w:name="_GoBack"/>
      <w:bookmarkEnd w:id="6"/>
      <w:r>
        <w:rPr>
          <w:rFonts w:hint="eastAsia" w:ascii="方正仿宋_GB2312" w:hAnsi="方正仿宋_GB2312" w:eastAsia="方正仿宋_GB2312" w:cs="方正仿宋_GB2312"/>
          <w:sz w:val="32"/>
          <w:szCs w:val="32"/>
        </w:rPr>
        <w:t>点行业节能减排标准体系，将绿色流通纳入制度化、标准化发展轨道。2021年《国务院关于加快建立健全绿色低碳循环发展经济体系的指导意见》（国发〔2021〕4号）指出要健全绿色低碳循环发展的流通体系，打造绿色物流。在国家政策指导下，各地方政府相关部门在出台物流相关政策中也开始重视绿色物流问题。</w:t>
      </w:r>
    </w:p>
    <w:p>
      <w:pPr>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国外对绿色物流研究集中在物流绩效评价方面，国内相关学者虽然对绿色物流评价和发展进行了探索与研究，但研究视角过于宏观，缺乏可操作性，评价方法单一、缺乏分类、难以应用。为解决商贸物流企业如何绿色发展，在业务流程中如何实现绿色发展问题，本团队编制了《商贸物流企业绿色管理规范》，用以指导商贸物流企业开展绿色管理实践。</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3.起草单位及起草人分工</w:t>
      </w:r>
    </w:p>
    <w:p>
      <w:pPr>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本文件由沈阳工业大学管理学院李艺团队起草。起草人分工如下：</w:t>
      </w:r>
    </w:p>
    <w:tbl>
      <w:tblPr>
        <w:tblStyle w:val="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2"/>
        <w:gridCol w:w="1340"/>
        <w:gridCol w:w="1795"/>
        <w:gridCol w:w="2022"/>
        <w:gridCol w:w="2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2" w:type="pct"/>
          </w:tcPr>
          <w:p>
            <w:pPr>
              <w:jc w:val="center"/>
              <w:rPr>
                <w:rFonts w:ascii="方正仿宋_GB2312" w:hAnsi="方正仿宋_GB2312" w:eastAsia="方正仿宋_GB2312" w:cs="方正仿宋_GB2312"/>
                <w:b/>
                <w:bCs/>
                <w:sz w:val="24"/>
                <w:szCs w:val="28"/>
              </w:rPr>
            </w:pPr>
            <w:r>
              <w:rPr>
                <w:rFonts w:hint="eastAsia" w:ascii="方正仿宋_GB2312" w:hAnsi="方正仿宋_GB2312" w:eastAsia="方正仿宋_GB2312" w:cs="方正仿宋_GB2312"/>
                <w:b/>
                <w:bCs/>
                <w:sz w:val="24"/>
                <w:szCs w:val="28"/>
              </w:rPr>
              <w:t>序号</w:t>
            </w:r>
          </w:p>
        </w:tc>
        <w:tc>
          <w:tcPr>
            <w:tcW w:w="786" w:type="pct"/>
          </w:tcPr>
          <w:p>
            <w:pPr>
              <w:jc w:val="center"/>
              <w:rPr>
                <w:rFonts w:ascii="方正仿宋_GB2312" w:hAnsi="方正仿宋_GB2312" w:eastAsia="方正仿宋_GB2312" w:cs="方正仿宋_GB2312"/>
                <w:b/>
                <w:bCs/>
                <w:sz w:val="24"/>
                <w:szCs w:val="28"/>
              </w:rPr>
            </w:pPr>
            <w:r>
              <w:rPr>
                <w:rFonts w:hint="eastAsia" w:ascii="方正仿宋_GB2312" w:hAnsi="方正仿宋_GB2312" w:eastAsia="方正仿宋_GB2312" w:cs="方正仿宋_GB2312"/>
                <w:b/>
                <w:bCs/>
                <w:sz w:val="24"/>
                <w:szCs w:val="28"/>
              </w:rPr>
              <w:t>姓名</w:t>
            </w:r>
          </w:p>
        </w:tc>
        <w:tc>
          <w:tcPr>
            <w:tcW w:w="1053" w:type="pct"/>
          </w:tcPr>
          <w:p>
            <w:pPr>
              <w:jc w:val="center"/>
              <w:rPr>
                <w:rFonts w:ascii="方正仿宋_GB2312" w:hAnsi="方正仿宋_GB2312" w:eastAsia="方正仿宋_GB2312" w:cs="方正仿宋_GB2312"/>
                <w:b/>
                <w:bCs/>
                <w:sz w:val="24"/>
                <w:szCs w:val="28"/>
              </w:rPr>
            </w:pPr>
            <w:r>
              <w:rPr>
                <w:rFonts w:hint="eastAsia" w:ascii="方正仿宋_GB2312" w:hAnsi="方正仿宋_GB2312" w:eastAsia="方正仿宋_GB2312" w:cs="方正仿宋_GB2312"/>
                <w:b/>
                <w:bCs/>
                <w:sz w:val="24"/>
                <w:szCs w:val="28"/>
              </w:rPr>
              <w:t>职称</w:t>
            </w:r>
          </w:p>
        </w:tc>
        <w:tc>
          <w:tcPr>
            <w:tcW w:w="1186" w:type="pct"/>
          </w:tcPr>
          <w:p>
            <w:pPr>
              <w:jc w:val="center"/>
              <w:rPr>
                <w:rFonts w:ascii="方正仿宋_GB2312" w:hAnsi="方正仿宋_GB2312" w:eastAsia="方正仿宋_GB2312" w:cs="方正仿宋_GB2312"/>
                <w:b/>
                <w:bCs/>
                <w:sz w:val="24"/>
                <w:szCs w:val="28"/>
              </w:rPr>
            </w:pPr>
            <w:r>
              <w:rPr>
                <w:rFonts w:hint="eastAsia" w:ascii="方正仿宋_GB2312" w:hAnsi="方正仿宋_GB2312" w:eastAsia="方正仿宋_GB2312" w:cs="方正仿宋_GB2312"/>
                <w:b/>
                <w:bCs/>
                <w:sz w:val="24"/>
                <w:szCs w:val="28"/>
              </w:rPr>
              <w:t>工作单位</w:t>
            </w:r>
          </w:p>
        </w:tc>
        <w:tc>
          <w:tcPr>
            <w:tcW w:w="1320" w:type="pct"/>
          </w:tcPr>
          <w:p>
            <w:pPr>
              <w:jc w:val="center"/>
              <w:rPr>
                <w:rFonts w:ascii="方正仿宋_GB2312" w:hAnsi="方正仿宋_GB2312" w:eastAsia="方正仿宋_GB2312" w:cs="方正仿宋_GB2312"/>
                <w:b/>
                <w:bCs/>
                <w:sz w:val="24"/>
                <w:szCs w:val="28"/>
              </w:rPr>
            </w:pPr>
            <w:r>
              <w:rPr>
                <w:rFonts w:hint="eastAsia" w:ascii="方正仿宋_GB2312" w:hAnsi="方正仿宋_GB2312" w:eastAsia="方正仿宋_GB2312" w:cs="方正仿宋_GB2312"/>
                <w:b/>
                <w:bCs/>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2"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1</w:t>
            </w:r>
          </w:p>
        </w:tc>
        <w:tc>
          <w:tcPr>
            <w:tcW w:w="786"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李艺</w:t>
            </w:r>
          </w:p>
        </w:tc>
        <w:tc>
          <w:tcPr>
            <w:tcW w:w="1053"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副教授</w:t>
            </w:r>
          </w:p>
        </w:tc>
        <w:tc>
          <w:tcPr>
            <w:tcW w:w="1186"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沈阳工业大学</w:t>
            </w:r>
          </w:p>
        </w:tc>
        <w:tc>
          <w:tcPr>
            <w:tcW w:w="1320"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负责人、主编人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2"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2</w:t>
            </w:r>
          </w:p>
        </w:tc>
        <w:tc>
          <w:tcPr>
            <w:tcW w:w="786"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陆美岑</w:t>
            </w:r>
          </w:p>
        </w:tc>
        <w:tc>
          <w:tcPr>
            <w:tcW w:w="1053"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硕士研究生</w:t>
            </w:r>
          </w:p>
        </w:tc>
        <w:tc>
          <w:tcPr>
            <w:tcW w:w="1186"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沈阳工业大学</w:t>
            </w:r>
          </w:p>
        </w:tc>
        <w:tc>
          <w:tcPr>
            <w:tcW w:w="1320"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编写人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2"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3</w:t>
            </w:r>
          </w:p>
        </w:tc>
        <w:tc>
          <w:tcPr>
            <w:tcW w:w="786"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全永华</w:t>
            </w:r>
          </w:p>
        </w:tc>
        <w:tc>
          <w:tcPr>
            <w:tcW w:w="1053"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博士研究生</w:t>
            </w:r>
          </w:p>
        </w:tc>
        <w:tc>
          <w:tcPr>
            <w:tcW w:w="1186"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沈阳工业大学</w:t>
            </w:r>
          </w:p>
        </w:tc>
        <w:tc>
          <w:tcPr>
            <w:tcW w:w="1320"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编写人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2"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4</w:t>
            </w:r>
          </w:p>
        </w:tc>
        <w:tc>
          <w:tcPr>
            <w:tcW w:w="786"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周天舒</w:t>
            </w:r>
          </w:p>
        </w:tc>
        <w:tc>
          <w:tcPr>
            <w:tcW w:w="1053"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讲师</w:t>
            </w:r>
          </w:p>
        </w:tc>
        <w:tc>
          <w:tcPr>
            <w:tcW w:w="1186"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沈阳工业大学</w:t>
            </w:r>
          </w:p>
        </w:tc>
        <w:tc>
          <w:tcPr>
            <w:tcW w:w="1320"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编写人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2"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5</w:t>
            </w:r>
          </w:p>
        </w:tc>
        <w:tc>
          <w:tcPr>
            <w:tcW w:w="786"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张姗姗</w:t>
            </w:r>
          </w:p>
        </w:tc>
        <w:tc>
          <w:tcPr>
            <w:tcW w:w="1053"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硕士研究生</w:t>
            </w:r>
          </w:p>
        </w:tc>
        <w:tc>
          <w:tcPr>
            <w:tcW w:w="1186"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沈阳工业大学</w:t>
            </w:r>
          </w:p>
        </w:tc>
        <w:tc>
          <w:tcPr>
            <w:tcW w:w="1320"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编写人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2"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6</w:t>
            </w:r>
          </w:p>
        </w:tc>
        <w:tc>
          <w:tcPr>
            <w:tcW w:w="786"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王峤</w:t>
            </w:r>
          </w:p>
        </w:tc>
        <w:tc>
          <w:tcPr>
            <w:tcW w:w="1053"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硕士研究生</w:t>
            </w:r>
          </w:p>
        </w:tc>
        <w:tc>
          <w:tcPr>
            <w:tcW w:w="1186"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沈阳工业大学</w:t>
            </w:r>
          </w:p>
        </w:tc>
        <w:tc>
          <w:tcPr>
            <w:tcW w:w="1320"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参与部分工作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2"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7</w:t>
            </w:r>
          </w:p>
        </w:tc>
        <w:tc>
          <w:tcPr>
            <w:tcW w:w="786"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曹珊珊</w:t>
            </w:r>
          </w:p>
        </w:tc>
        <w:tc>
          <w:tcPr>
            <w:tcW w:w="1053"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硕士研究生</w:t>
            </w:r>
          </w:p>
        </w:tc>
        <w:tc>
          <w:tcPr>
            <w:tcW w:w="1186"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沈阳工业大学</w:t>
            </w:r>
          </w:p>
        </w:tc>
        <w:tc>
          <w:tcPr>
            <w:tcW w:w="1320"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参与部分工作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2"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8</w:t>
            </w:r>
          </w:p>
        </w:tc>
        <w:tc>
          <w:tcPr>
            <w:tcW w:w="786"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宋慧芳</w:t>
            </w:r>
          </w:p>
        </w:tc>
        <w:tc>
          <w:tcPr>
            <w:tcW w:w="1053"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硕士研究生</w:t>
            </w:r>
          </w:p>
        </w:tc>
        <w:tc>
          <w:tcPr>
            <w:tcW w:w="1186"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沈阳工业大学</w:t>
            </w:r>
          </w:p>
        </w:tc>
        <w:tc>
          <w:tcPr>
            <w:tcW w:w="1320" w:type="pct"/>
          </w:tcPr>
          <w:p>
            <w:pPr>
              <w:jc w:val="center"/>
              <w:rPr>
                <w:rFonts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参与部分工作</w:t>
            </w:r>
          </w:p>
        </w:tc>
      </w:tr>
    </w:tbl>
    <w:p>
      <w:pPr>
        <w:ind w:firstLine="640" w:firstLineChars="200"/>
        <w:rPr>
          <w:rFonts w:ascii="黑体" w:hAnsi="黑体" w:eastAsia="黑体" w:cs="仿宋_GB2312"/>
          <w:sz w:val="32"/>
          <w:szCs w:val="32"/>
        </w:rPr>
      </w:pPr>
      <w:r>
        <w:rPr>
          <w:rFonts w:hint="eastAsia" w:ascii="黑体" w:hAnsi="黑体" w:eastAsia="黑体" w:cs="仿宋_GB2312"/>
          <w:sz w:val="32"/>
          <w:szCs w:val="32"/>
        </w:rPr>
        <w:t>4.主要工作过程</w:t>
      </w:r>
    </w:p>
    <w:p>
      <w:pPr>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——标准预研阶段：2022年3月-2022年6月，收集整理商贸物流绿色管理体系方面的国家、行业、地方和团体标准及相关法律、法规等资料，作为本文件制定的依据。</w:t>
      </w:r>
    </w:p>
    <w:p>
      <w:pPr>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——组织成立标准起草小组：2022年7月辽宁省市场监督管理局发布《2022年辽宁省地方标准立项计划》后，我们组织成立了文件起草小组。</w:t>
      </w:r>
    </w:p>
    <w:p>
      <w:pPr>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——2022年8月-2022年11月：经过3个月的研究、走访和文本起草工作，形成了《商贸物流企业绿色管理规范》征求意见稿。</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二、标准编制原则和确定标准主要内容</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1.编制原则</w:t>
      </w:r>
    </w:p>
    <w:p>
      <w:pPr>
        <w:ind w:firstLine="645"/>
        <w:rPr>
          <w:rFonts w:ascii="仿宋_GB2312" w:hAnsi="宋体" w:eastAsia="仿宋_GB2312" w:cs="仿宋_GB2312"/>
          <w:sz w:val="32"/>
          <w:szCs w:val="32"/>
        </w:rPr>
      </w:pPr>
      <w:r>
        <w:rPr>
          <w:rFonts w:hint="eastAsia" w:ascii="仿宋_GB2312" w:hAnsi="宋体" w:eastAsia="仿宋_GB2312" w:cs="仿宋_GB2312"/>
          <w:sz w:val="32"/>
          <w:szCs w:val="32"/>
        </w:rPr>
        <w:t>（1）规范性原则。本文件严格按照GB/T1.1—2020《标准化工作导则第1部分：标准的结构和编写》的要求和规定编写。文本简明扼要，能直接引用的标准尽量引用。文字表达准确、简明、易懂，结构合理、层次分明、逻辑严谨。</w:t>
      </w:r>
    </w:p>
    <w:p>
      <w:pPr>
        <w:ind w:firstLine="645"/>
        <w:rPr>
          <w:rFonts w:ascii="仿宋_GB2312" w:hAnsi="宋体" w:eastAsia="仿宋_GB2312" w:cs="仿宋_GB2312"/>
          <w:sz w:val="32"/>
          <w:szCs w:val="32"/>
        </w:rPr>
      </w:pPr>
      <w:r>
        <w:rPr>
          <w:rFonts w:hint="eastAsia" w:ascii="仿宋_GB2312" w:hAnsi="宋体" w:eastAsia="仿宋_GB2312" w:cs="仿宋_GB2312"/>
          <w:sz w:val="32"/>
          <w:szCs w:val="32"/>
        </w:rPr>
        <w:t>（2）协调性原则。文件遵循国家、行业有关绿色物流发展方面的方针政策和法规制度，与相关国家标准、行业标准相协调一致。</w:t>
      </w:r>
    </w:p>
    <w:p>
      <w:pPr>
        <w:ind w:firstLine="645"/>
        <w:rPr>
          <w:rFonts w:ascii="仿宋_GB2312" w:hAnsi="宋体" w:eastAsia="仿宋_GB2312" w:cs="仿宋_GB2312"/>
          <w:sz w:val="32"/>
          <w:szCs w:val="32"/>
        </w:rPr>
      </w:pPr>
      <w:r>
        <w:rPr>
          <w:rFonts w:hint="eastAsia" w:ascii="仿宋_GB2312" w:hAnsi="宋体" w:eastAsia="仿宋_GB2312" w:cs="仿宋_GB2312"/>
          <w:sz w:val="32"/>
          <w:szCs w:val="32"/>
        </w:rPr>
        <w:t>（3）科学性原则。文件编制过程中我们对全省商贸物流企业绿色发展情况进行了调研，合理设置了各维度的管理规范</w:t>
      </w:r>
      <w:r>
        <w:rPr>
          <w:rFonts w:hint="eastAsia" w:ascii="仿宋_GB2312" w:hAnsi="宋体" w:eastAsia="仿宋_GB2312" w:cs="仿宋_GB2312"/>
          <w:color w:val="0000FF"/>
          <w:sz w:val="32"/>
          <w:szCs w:val="32"/>
        </w:rPr>
        <w:t>，</w:t>
      </w:r>
      <w:r>
        <w:rPr>
          <w:rFonts w:hint="eastAsia" w:ascii="仿宋_GB2312" w:hAnsi="宋体" w:eastAsia="仿宋_GB2312" w:cs="仿宋_GB2312"/>
          <w:sz w:val="32"/>
          <w:szCs w:val="32"/>
        </w:rPr>
        <w:t>符合目前我省商贸物流行业绿色发展的实际情况，符合科学性要求。</w:t>
      </w:r>
    </w:p>
    <w:p>
      <w:pPr>
        <w:ind w:firstLine="640" w:firstLineChars="200"/>
        <w:rPr>
          <w:rFonts w:ascii="方正仿宋_GB2312" w:hAnsi="方正仿宋_GB2312" w:eastAsia="方正仿宋_GB2312" w:cs="方正仿宋_GB2312"/>
          <w:sz w:val="32"/>
          <w:szCs w:val="32"/>
        </w:rPr>
      </w:pPr>
      <w:r>
        <w:rPr>
          <w:rFonts w:hint="eastAsia" w:ascii="仿宋_GB2312" w:hAnsi="宋体" w:eastAsia="仿宋_GB2312" w:cs="仿宋_GB2312"/>
          <w:sz w:val="32"/>
          <w:szCs w:val="32"/>
        </w:rPr>
        <w:t>（4）实用性原则。本文件可帮助商贸物流企业构建绿色管理体系，指导企业开展绿色实践，对促进商贸物流企业绿色发展具有实际指导价值。</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2.主要内容</w:t>
      </w:r>
    </w:p>
    <w:p>
      <w:pPr>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本文件规定了商贸物流企业绿色管理的术语、定义和要求，包括但不限于物流包装、运输、仓储等业务活动，适用于辽宁省行政区域内的商贸物流企业，其他区域可参照执行。</w:t>
      </w:r>
    </w:p>
    <w:p>
      <w:pPr>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本文件针对商贸物流企业需求特点，考虑物流业务多样性特征，编制了适用于各类商贸物流企业的绿色管理规范。通过相关文献梳理、吸取国内外物流标准建设和体系设计经验，提出商贸物流企业绿色管理体系五个维度，即绿色物流节约度、绿色物流清洁度、绿色物流增益度、绿色物流安全度和绿色物流创新度，就每个管理维度给出具体管理作业规范。</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3.主要依据</w:t>
      </w:r>
    </w:p>
    <w:p>
      <w:pPr>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本文件参照国内同类相关标准，以可持续发展理论、生态经济学理论、绿色发展理论、外部成本内在化理论、利益相关者理论等为基础，考虑商贸物流企业实际管理与作业情况进行编制。</w:t>
      </w:r>
    </w:p>
    <w:p>
      <w:pPr>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本文件编制引用了如下标准或规范：</w:t>
      </w:r>
    </w:p>
    <w:p>
      <w:pPr>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GB/T37099-2018《绿色物流指标构成与核算方法》</w:t>
      </w:r>
    </w:p>
    <w:p>
      <w:pPr>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GB/T37422-2019《绿色包装评价方法与准则》</w:t>
      </w:r>
    </w:p>
    <w:p>
      <w:pPr>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GB/T41243-2022《绿色仓储与配送要求及评估》</w:t>
      </w:r>
    </w:p>
    <w:p>
      <w:pPr>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GB/T35434-2017《商贸物流企业信用评价指标》</w:t>
      </w:r>
    </w:p>
    <w:p>
      <w:pPr>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GB/T18354-2021《物流术语》</w:t>
      </w:r>
    </w:p>
    <w:p>
      <w:pPr>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GB/T40753-2021/ISO28004:2007《供应链安全管理体系ISO28000实施指南》</w:t>
      </w:r>
    </w:p>
    <w:p>
      <w:pPr>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GB/T19680-2013《物流企业分类与评估指标》</w:t>
      </w:r>
    </w:p>
    <w:p>
      <w:pPr>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DB43/T1592-2019《绿色物流企业》</w:t>
      </w:r>
    </w:p>
    <w:p>
      <w:pPr>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DB12/T700《商贸物流术语》</w:t>
      </w:r>
    </w:p>
    <w:p>
      <w:pPr>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SB/T11198-2017《商贸物流园区建设与运营服务规范》</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三、实验验证</w:t>
      </w:r>
    </w:p>
    <w:p>
      <w:pPr>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本文件制定是在充分征求本省商贸物流企业意见基础上，经过实地调查后进行编制，保证了管理规范的准确性和可操作性，帮助商贸物流企业构建绿色管理体系，指导绿色发展实践。</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1.体系构建逻辑</w:t>
      </w:r>
    </w:p>
    <w:p>
      <w:pPr>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构建商贸物流企业绿色管理体系应包含多个维度。绿色商贸物流企业应减少作业活动对资源环境造成的影响，链接绿色制造和绿色消费，共同构建资源节约、保护环境的绿色经济系统，绿色管理体系应包含绿色节约维度和绿色清洁维度，在各作业环节中考虑节约能源、物料，符合环境管理等要求。从可持续发展理论考虑，物流系统应实现企业经济利益与生态环境利益的协调与平衡，在促进资源节约与综合利用的同时保证和提高企业盈利能力，因此设置绿色增益维度，评价绿色管理效率。从利益相关者理论出发，安全储运管理与顾客、员工等利益相关者关系重大，应得到重视，由此设置绿色安全维度，为企业绿色发展提供安全制度保障。商贸物流绿色发展要体现物流高质量发展特征，鼓励企业在技术创新和环境建设上的投资，通过技术研发实现低碳减排目标，由此设置绿色创新维度，为企业绿色发展提供技术保障。</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2.具体管理措施</w:t>
      </w:r>
    </w:p>
    <w:p>
      <w:pPr>
        <w:pStyle w:val="10"/>
        <w:widowControl/>
        <w:ind w:firstLine="420"/>
        <w:rPr>
          <w:rFonts w:ascii="仿宋_GB2312" w:hAnsi="宋体" w:eastAsia="仿宋_GB2312" w:cs="仿宋_GB2312"/>
          <w:color w:val="auto"/>
          <w:sz w:val="32"/>
          <w:szCs w:val="32"/>
        </w:rPr>
      </w:pPr>
      <w:r>
        <w:rPr>
          <w:rFonts w:hint="eastAsia" w:ascii="仿宋_GB2312" w:hAnsi="宋体" w:eastAsia="仿宋_GB2312" w:cs="仿宋_GB2312"/>
          <w:color w:val="auto"/>
          <w:sz w:val="32"/>
          <w:szCs w:val="32"/>
        </w:rPr>
        <w:t>商贸物流企业绿色管理体系分为绿色节约度、绿色清洁度、绿色增益度、绿色安全度和绿色创新度。</w:t>
      </w:r>
    </w:p>
    <w:p>
      <w:pPr>
        <w:pStyle w:val="10"/>
        <w:widowControl/>
        <w:ind w:firstLine="420"/>
        <w:rPr>
          <w:rFonts w:ascii="仿宋_GB2312" w:hAnsi="宋体" w:eastAsia="仿宋_GB2312" w:cs="仿宋_GB2312"/>
          <w:color w:val="auto"/>
          <w:sz w:val="32"/>
          <w:szCs w:val="32"/>
        </w:rPr>
      </w:pPr>
      <w:r>
        <w:rPr>
          <w:rFonts w:hint="eastAsia" w:ascii="仿宋_GB2312" w:hAnsi="宋体" w:eastAsia="仿宋_GB2312" w:cs="仿宋_GB2312"/>
          <w:color w:val="auto"/>
          <w:sz w:val="32"/>
          <w:szCs w:val="32"/>
        </w:rPr>
        <w:t>（1）绿色节约度管理维度，一般规定企业在生产经营过程中应对资源采取节约措施，实施绿色节约管理。其中，对运输车辆、仓储利用、物流设备以及废弃物回收的节约度管理进行进一步规范。</w:t>
      </w:r>
    </w:p>
    <w:p>
      <w:pPr>
        <w:pStyle w:val="10"/>
        <w:widowControl/>
        <w:ind w:firstLine="420"/>
        <w:rPr>
          <w:rFonts w:ascii="仿宋_GB2312" w:hAnsi="宋体" w:eastAsia="仿宋_GB2312" w:cs="仿宋_GB2312"/>
          <w:color w:val="auto"/>
          <w:sz w:val="32"/>
          <w:szCs w:val="32"/>
        </w:rPr>
      </w:pPr>
      <w:r>
        <w:rPr>
          <w:rFonts w:hint="eastAsia" w:ascii="仿宋_GB2312" w:hAnsi="宋体" w:eastAsia="仿宋_GB2312" w:cs="仿宋_GB2312"/>
          <w:color w:val="auto"/>
          <w:sz w:val="32"/>
          <w:szCs w:val="32"/>
        </w:rPr>
        <w:t>运输车辆宜选用新能源车型进行城市物流配送。仓库面积利用率和仓库容积利用率应不低于50%；仓储方面宜采用仓储管理系统，提高仓储作业效率和准确度；宜进行仓库节能化改造，应用屋顶光伏、空气能等技术节约照明、采暖、用水等消耗；应建立仓储节约管理机制。</w:t>
      </w:r>
      <w:bookmarkStart w:id="0" w:name="_Toc118122492"/>
      <w:r>
        <w:rPr>
          <w:rFonts w:hint="eastAsia" w:ascii="仿宋_GB2312" w:hAnsi="宋体" w:eastAsia="仿宋_GB2312" w:cs="仿宋_GB2312"/>
          <w:color w:val="auto"/>
          <w:sz w:val="32"/>
          <w:szCs w:val="32"/>
        </w:rPr>
        <w:t>物流设备</w:t>
      </w:r>
      <w:bookmarkEnd w:id="0"/>
      <w:r>
        <w:rPr>
          <w:rFonts w:hint="eastAsia" w:ascii="仿宋_GB2312" w:hAnsi="宋体" w:eastAsia="仿宋_GB2312" w:cs="仿宋_GB2312"/>
          <w:color w:val="auto"/>
          <w:sz w:val="32"/>
          <w:szCs w:val="32"/>
        </w:rPr>
        <w:t>方面，宜选用节能环保叉车；货架应采用环保、高强度、高韧性材料，宜使用立体货架；宜循环使用1000mm×1200mm的标准托盘，宜使用环保托盘。废弃物的回收、贮存与运输活动应符合国家及地方资源循环利用、环境保护、劳动保护、公共卫生和消防安全等方面的法律、法规和政策的有关规定；回收、贮存与运输活动应与危险品的包装废弃物应严格分离进行；回收企业应建立程序文件对包装废弃物的回收、贮存与运输过程进行管控；回收企业应建立完善废弃物信息、经营管理、检查维护、环境监测等相关的记录，记录宜保持2年以上；回收企业应建立完善的污染防治制度，定期维护环境保护设施。</w:t>
      </w:r>
    </w:p>
    <w:p>
      <w:pPr>
        <w:pStyle w:val="10"/>
        <w:widowControl/>
        <w:ind w:firstLine="420"/>
        <w:rPr>
          <w:rFonts w:ascii="仿宋_GB2312" w:hAnsi="宋体" w:eastAsia="仿宋_GB2312" w:cs="仿宋_GB2312"/>
          <w:color w:val="auto"/>
          <w:sz w:val="32"/>
          <w:szCs w:val="32"/>
        </w:rPr>
      </w:pPr>
      <w:r>
        <w:rPr>
          <w:rFonts w:hint="eastAsia" w:ascii="仿宋_GB2312" w:hAnsi="宋体" w:eastAsia="仿宋_GB2312" w:cs="仿宋_GB2312"/>
          <w:color w:val="auto"/>
          <w:sz w:val="32"/>
          <w:szCs w:val="32"/>
        </w:rPr>
        <w:t>（2）绿色清洁度管理维度，一般规定企业在生产经营过程中应对资源采取清洁措施，降低对环境造成的影响，提高环境管理水平。其中，对运输车辆、废弃物排放、绿色包装以及环境管理体系的节约度管理进行进一步规范。</w:t>
      </w:r>
    </w:p>
    <w:p>
      <w:pPr>
        <w:pStyle w:val="10"/>
        <w:widowControl/>
        <w:ind w:firstLine="420"/>
        <w:rPr>
          <w:rFonts w:ascii="仿宋_GB2312" w:hAnsi="宋体" w:eastAsia="仿宋_GB2312" w:cs="仿宋_GB2312"/>
          <w:color w:val="auto"/>
          <w:sz w:val="32"/>
          <w:szCs w:val="32"/>
        </w:rPr>
      </w:pPr>
      <w:r>
        <w:rPr>
          <w:rFonts w:hint="eastAsia" w:ascii="仿宋_GB2312" w:hAnsi="宋体" w:eastAsia="仿宋_GB2312" w:cs="仿宋_GB2312"/>
          <w:color w:val="auto"/>
          <w:sz w:val="32"/>
          <w:szCs w:val="32"/>
        </w:rPr>
        <w:t>运输车辆尾气排放应符合相关国家标准规定；宜采用清洁能源车型。</w:t>
      </w:r>
      <w:bookmarkStart w:id="1" w:name="_Toc118122497"/>
      <w:r>
        <w:rPr>
          <w:rFonts w:hint="eastAsia" w:ascii="仿宋_GB2312" w:hAnsi="宋体" w:eastAsia="仿宋_GB2312" w:cs="仿宋_GB2312"/>
          <w:color w:val="auto"/>
          <w:sz w:val="32"/>
          <w:szCs w:val="32"/>
        </w:rPr>
        <w:t>废弃物排放</w:t>
      </w:r>
      <w:bookmarkEnd w:id="1"/>
      <w:r>
        <w:rPr>
          <w:rFonts w:hint="eastAsia" w:ascii="仿宋_GB2312" w:hAnsi="宋体" w:eastAsia="仿宋_GB2312" w:cs="仿宋_GB2312"/>
          <w:color w:val="auto"/>
          <w:sz w:val="32"/>
          <w:szCs w:val="32"/>
        </w:rPr>
        <w:t>方面，固体废物和危险废物，生产垃圾和生活垃圾，应分类进行收集、储运和处理；一般固体废物的贮存和处置应符合《一般工业固体废物贮存和填埋污染控制标准》（GB18599）的规定；危险废物处置率应达到100%；应设置废物收集系统和处理处置设施，或按相关规定做好异地处置，不产生二次污染。</w:t>
      </w:r>
      <w:bookmarkStart w:id="2" w:name="_Toc118122498"/>
      <w:r>
        <w:rPr>
          <w:rFonts w:hint="eastAsia" w:ascii="仿宋_GB2312" w:hAnsi="宋体" w:eastAsia="仿宋_GB2312" w:cs="仿宋_GB2312"/>
          <w:color w:val="auto"/>
          <w:sz w:val="32"/>
          <w:szCs w:val="32"/>
        </w:rPr>
        <w:t>绿色包装方面，</w:t>
      </w:r>
      <w:bookmarkEnd w:id="2"/>
      <w:r>
        <w:rPr>
          <w:rFonts w:hint="eastAsia" w:ascii="仿宋_GB2312" w:hAnsi="宋体" w:eastAsia="仿宋_GB2312" w:cs="仿宋_GB2312"/>
          <w:color w:val="auto"/>
          <w:sz w:val="32"/>
          <w:szCs w:val="32"/>
        </w:rPr>
        <w:t>包装材料及印刷品应对人体和环境无害；遵循经济循环3R原则，包装宜考虑减量化，节约材料，以达到降低成本、减轻环境污染；宜采用可重复使用或可回收再生包装，以实现包装再利用。企业应建立环境管理体系，并通过ISO14000环境管理体系认证。</w:t>
      </w:r>
    </w:p>
    <w:p>
      <w:pPr>
        <w:pStyle w:val="10"/>
        <w:widowControl/>
        <w:ind w:left="-142" w:firstLine="646" w:firstLineChars="202"/>
        <w:rPr>
          <w:rFonts w:ascii="仿宋_GB2312" w:hAnsi="宋体" w:eastAsia="仿宋_GB2312" w:cs="仿宋_GB2312"/>
          <w:color w:val="auto"/>
          <w:sz w:val="32"/>
          <w:szCs w:val="32"/>
        </w:rPr>
      </w:pPr>
      <w:r>
        <w:rPr>
          <w:rFonts w:hint="eastAsia" w:ascii="仿宋_GB2312" w:hAnsi="宋体" w:eastAsia="仿宋_GB2312" w:cs="仿宋_GB2312"/>
          <w:color w:val="auto"/>
          <w:sz w:val="32"/>
          <w:szCs w:val="32"/>
        </w:rPr>
        <w:t>（3）绿色增益度管理维度，一般规定企业在生产经营过程中应建立绿色管理台账，合理分配经济与资料，评价利用效率，为绿色发展提供资金保障。其中，对绿色补贴、绿色成本节约的增益度管理进行进一步规范。</w:t>
      </w:r>
    </w:p>
    <w:p>
      <w:pPr>
        <w:pStyle w:val="10"/>
        <w:widowControl/>
        <w:ind w:left="-142" w:firstLine="646" w:firstLineChars="202"/>
        <w:rPr>
          <w:rFonts w:ascii="仿宋_GB2312" w:hAnsi="宋体" w:eastAsia="仿宋_GB2312" w:cs="仿宋_GB2312"/>
          <w:color w:val="auto"/>
          <w:sz w:val="32"/>
          <w:szCs w:val="32"/>
        </w:rPr>
      </w:pPr>
      <w:r>
        <w:rPr>
          <w:rFonts w:hint="eastAsia" w:ascii="仿宋_GB2312" w:hAnsi="宋体" w:eastAsia="仿宋_GB2312" w:cs="仿宋_GB2312"/>
          <w:color w:val="auto"/>
          <w:sz w:val="32"/>
          <w:szCs w:val="32"/>
        </w:rPr>
        <w:t>在绿色补贴方面，企业宜建立补贴账户，记录购买环保设备或达到环保标准享用的政策补贴款项。</w:t>
      </w:r>
      <w:bookmarkStart w:id="3" w:name="_Toc118122503"/>
      <w:r>
        <w:rPr>
          <w:rFonts w:hint="eastAsia" w:ascii="仿宋_GB2312" w:hAnsi="宋体" w:eastAsia="仿宋_GB2312" w:cs="仿宋_GB2312"/>
          <w:color w:val="auto"/>
          <w:sz w:val="32"/>
          <w:szCs w:val="32"/>
        </w:rPr>
        <w:t>绿色成本</w:t>
      </w:r>
      <w:bookmarkEnd w:id="3"/>
      <w:r>
        <w:rPr>
          <w:rFonts w:hint="eastAsia" w:ascii="仿宋_GB2312" w:hAnsi="宋体" w:eastAsia="仿宋_GB2312" w:cs="仿宋_GB2312"/>
          <w:color w:val="auto"/>
          <w:sz w:val="32"/>
          <w:szCs w:val="32"/>
        </w:rPr>
        <w:t>方面，企业宜增加绿色物流成本账户并列出各成本构成；应建立有效的绿色成本管理机制；应做好绿色成本预算。</w:t>
      </w:r>
    </w:p>
    <w:p>
      <w:pPr>
        <w:pStyle w:val="10"/>
        <w:widowControl/>
        <w:ind w:left="-142" w:firstLine="646" w:firstLineChars="202"/>
        <w:rPr>
          <w:rFonts w:ascii="仿宋_GB2312" w:hAnsi="宋体" w:eastAsia="仿宋_GB2312" w:cs="仿宋_GB2312"/>
          <w:color w:val="auto"/>
          <w:sz w:val="32"/>
          <w:szCs w:val="32"/>
        </w:rPr>
      </w:pPr>
      <w:r>
        <w:rPr>
          <w:rFonts w:hint="eastAsia" w:ascii="仿宋_GB2312" w:hAnsi="宋体" w:eastAsia="仿宋_GB2312" w:cs="仿宋_GB2312"/>
          <w:color w:val="auto"/>
          <w:sz w:val="32"/>
          <w:szCs w:val="32"/>
        </w:rPr>
        <w:t>（4）绿色安全度管理维度，一般规定企业在生产经营过程中应合理储存和运输，制定安全应急预案，为企业绿色发展提供安全制度保障。其中，对安全事故、货物损耗、事故应急预案以及物流安全管理制度进行进一步规范。</w:t>
      </w:r>
    </w:p>
    <w:p>
      <w:pPr>
        <w:pStyle w:val="10"/>
        <w:widowControl/>
        <w:ind w:left="-142" w:firstLine="646" w:firstLineChars="202"/>
        <w:rPr>
          <w:rFonts w:ascii="仿宋_GB2312" w:hAnsi="宋体" w:eastAsia="仿宋_GB2312" w:cs="仿宋_GB2312"/>
          <w:color w:val="auto"/>
          <w:sz w:val="32"/>
          <w:szCs w:val="32"/>
        </w:rPr>
      </w:pPr>
      <w:r>
        <w:rPr>
          <w:rFonts w:hint="eastAsia" w:ascii="仿宋_GB2312" w:hAnsi="宋体" w:eastAsia="仿宋_GB2312" w:cs="仿宋_GB2312"/>
          <w:color w:val="auto"/>
          <w:sz w:val="32"/>
          <w:szCs w:val="32"/>
        </w:rPr>
        <w:t>在安全事故管理方面，企业应对场地、货物、物流操作过程中的所有危险源加以重点辨识，做好风险分级管控和隐患排查治理；应确保仓库周边或运输时有充足的消防设施设备，并且操作人员需要具有相应的消防专业知识，可以熟练使用消防栓这类设施。</w:t>
      </w:r>
      <w:bookmarkStart w:id="4" w:name="_Toc118122507"/>
      <w:r>
        <w:rPr>
          <w:rFonts w:hint="eastAsia" w:ascii="仿宋_GB2312" w:hAnsi="宋体" w:eastAsia="仿宋_GB2312" w:cs="仿宋_GB2312"/>
          <w:color w:val="auto"/>
          <w:sz w:val="32"/>
          <w:szCs w:val="32"/>
        </w:rPr>
        <w:t>货物损耗</w:t>
      </w:r>
      <w:bookmarkEnd w:id="4"/>
      <w:r>
        <w:rPr>
          <w:rFonts w:hint="eastAsia" w:ascii="仿宋_GB2312" w:hAnsi="宋体" w:eastAsia="仿宋_GB2312" w:cs="仿宋_GB2312"/>
          <w:color w:val="auto"/>
          <w:sz w:val="32"/>
          <w:szCs w:val="32"/>
        </w:rPr>
        <w:t>方面，包装不应接触有腐蚀性的化学物品和其他有害物质，应避开高温热源和火源；在运输过程中应避免雨淋、暴晒、受潮和污染，确保包装完好无损；在运输过程中应做好包装物的固定防护，堆码高度应符合安全要求；在装卸过程中应避免机械损伤和污损。企业宜建立并贯彻实施适当的计划和程序，以确定安全事件和近期情况的潜在可能性及对策，并预防和减轻可能与其相关的后果。还应建立、制定、实施、维护和不断改进有效的安全管理体系；宜制定并实施安全管理计划，以实现其各项目标和指标。</w:t>
      </w:r>
    </w:p>
    <w:p>
      <w:pPr>
        <w:pStyle w:val="10"/>
        <w:widowControl/>
        <w:ind w:left="-142" w:firstLine="646" w:firstLineChars="202"/>
        <w:rPr>
          <w:rFonts w:ascii="仿宋_GB2312" w:hAnsi="宋体" w:eastAsia="仿宋_GB2312" w:cs="仿宋_GB2312"/>
          <w:color w:val="auto"/>
          <w:sz w:val="32"/>
          <w:szCs w:val="32"/>
        </w:rPr>
      </w:pPr>
      <w:r>
        <w:rPr>
          <w:rFonts w:hint="eastAsia" w:ascii="仿宋_GB2312" w:hAnsi="宋体" w:eastAsia="仿宋_GB2312" w:cs="仿宋_GB2312"/>
          <w:color w:val="auto"/>
          <w:sz w:val="32"/>
          <w:szCs w:val="32"/>
        </w:rPr>
        <w:t>（5）绿色创新度管理维度，一般规定企业在生产经营过程中应加大智能化、数字化科技创新力度，为企业绿色发展提供技术保障。其中，对绿色R&amp;D投入以及物流智能化、数字化改造进行进一步规范。</w:t>
      </w:r>
    </w:p>
    <w:p>
      <w:pPr>
        <w:pStyle w:val="10"/>
        <w:widowControl/>
        <w:ind w:left="-142" w:firstLine="646" w:firstLineChars="202"/>
        <w:rPr>
          <w:rFonts w:ascii="仿宋_GB2312" w:hAnsi="宋体" w:eastAsia="仿宋_GB2312" w:cs="仿宋_GB2312"/>
          <w:color w:val="auto"/>
          <w:sz w:val="32"/>
          <w:szCs w:val="32"/>
        </w:rPr>
      </w:pPr>
      <w:r>
        <w:rPr>
          <w:rFonts w:hint="eastAsia" w:ascii="仿宋_GB2312" w:hAnsi="宋体" w:eastAsia="仿宋_GB2312" w:cs="仿宋_GB2312"/>
          <w:color w:val="auto"/>
          <w:sz w:val="32"/>
          <w:szCs w:val="32"/>
        </w:rPr>
        <w:t>企业宜增加研发人员，加大绿色物流相关研发资金投入；应研发仓储管理系统软件、物流经营管理、数据交互平台。</w:t>
      </w:r>
      <w:bookmarkStart w:id="5" w:name="_Toc118122513"/>
      <w:r>
        <w:rPr>
          <w:rFonts w:hint="eastAsia" w:ascii="仿宋_GB2312" w:hAnsi="宋体" w:eastAsia="仿宋_GB2312" w:cs="仿宋_GB2312"/>
          <w:color w:val="auto"/>
          <w:sz w:val="32"/>
          <w:szCs w:val="32"/>
        </w:rPr>
        <w:t>在物流智能化、数字化改造</w:t>
      </w:r>
      <w:bookmarkEnd w:id="5"/>
      <w:r>
        <w:rPr>
          <w:rFonts w:hint="eastAsia" w:ascii="仿宋_GB2312" w:hAnsi="宋体" w:eastAsia="仿宋_GB2312" w:cs="仿宋_GB2312"/>
          <w:color w:val="auto"/>
          <w:sz w:val="32"/>
          <w:szCs w:val="32"/>
        </w:rPr>
        <w:t>方面，宜采用自动化、智能化装卸、搬运、仓储、分拣、包装设备；宜应用仓库管理系统（WMS）进行作业管理；宜利用物联网、人工智能、大数据等技术实施智能仓储、配送管理；物流管理信息系统宜与公共物流服务平台及相关方实现互联互通。</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3.研究方法</w:t>
      </w:r>
    </w:p>
    <w:p>
      <w:pPr>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本文件采用文献研究方法和访谈法，学习和借鉴其他学者在物流评价以及管理方面的研究成果，按照层次分析法（AHP）逻辑归纳物流要素，按照要素间的关系分为目标层、准则层、要素层三层，构建绿色商贸物流管理体系。针对商贸物流企业物流需求特点，参照国内外物流标准建设和体系设计经验，从绿色物流的实际内涵出发，先对影响商贸物流系统绿色度的主要因素进行分析，以此构建由绿色物流节约度、绿色物流清洁度、绿色物流增益度、绿色物流安全度、绿色物流创新度五个维度的商贸物流企业绿色管理体系；对绿色物流管理体系中的核心维度展开，结合企业实际业务活动设计具体了商贸物流绿色管理规范。</w:t>
      </w:r>
    </w:p>
    <w:p>
      <w:pPr>
        <w:ind w:firstLine="640" w:firstLineChars="200"/>
        <w:rPr>
          <w:rFonts w:ascii="黑体" w:hAnsi="黑体" w:eastAsia="黑体" w:cs="仿宋_GB2312"/>
          <w:sz w:val="32"/>
          <w:szCs w:val="32"/>
        </w:rPr>
      </w:pPr>
      <w:r>
        <w:rPr>
          <w:rFonts w:hint="eastAsia" w:ascii="黑体" w:hAnsi="黑体" w:eastAsia="黑体" w:cs="仿宋_GB2312"/>
          <w:sz w:val="32"/>
          <w:szCs w:val="32"/>
        </w:rPr>
        <w:t>四、与现行有关法律、法规和国家标准、行业标准、地方标准的关系</w:t>
      </w:r>
    </w:p>
    <w:p>
      <w:pPr>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本文件是在我国法律、法规及相关国家标准的要求下，结合商贸物流企业的特点，提出绿色管理规范，将对辽宁省商贸物流企业绿色管理提供指引。本规范引用了GB/T18354-2021《物流术语》、GB/T37099-2018《绿色物流指标构成与核算方法》等标准，是在现有标准体系下，为商贸物流企业绿色管理提出具体的、有针对性的管理规范要求。本标准与现行法律、法规和相关国家标准、行业标准能够协调一致，不存在矛盾。</w:t>
      </w:r>
    </w:p>
    <w:p>
      <w:pPr>
        <w:pStyle w:val="2"/>
        <w:spacing w:line="606" w:lineRule="exact"/>
        <w:rPr>
          <w:rFonts w:ascii="仿宋" w:hAnsi="仿宋" w:eastAsia="仿宋" w:cs="仿宋"/>
          <w:sz w:val="28"/>
          <w:szCs w:val="28"/>
        </w:rPr>
      </w:pPr>
      <w:r>
        <w:rPr>
          <w:rFonts w:hint="eastAsia" w:ascii="黑体" w:hAnsi="黑体" w:eastAsia="黑体" w:cs="仿宋_GB2312"/>
          <w:sz w:val="32"/>
          <w:szCs w:val="32"/>
        </w:rPr>
        <w:t>五、重大意见分歧的处理</w:t>
      </w:r>
    </w:p>
    <w:p>
      <w:pPr>
        <w:ind w:firstLine="640" w:firstLineChars="200"/>
        <w:rPr>
          <w:rFonts w:ascii="方正仿宋_GB2312" w:hAnsi="方正仿宋_GB2312" w:eastAsia="方正仿宋_GB2312" w:cs="方正仿宋_GB2312"/>
          <w:sz w:val="32"/>
          <w:szCs w:val="32"/>
          <w:u w:color="000000"/>
          <w:lang w:val="zh-TW" w:eastAsia="zh-TW"/>
        </w:rPr>
      </w:pPr>
      <w:r>
        <w:rPr>
          <w:rFonts w:hint="eastAsia" w:ascii="方正仿宋_GB2312" w:hAnsi="方正仿宋_GB2312" w:eastAsia="方正仿宋_GB2312" w:cs="方正仿宋_GB2312"/>
          <w:sz w:val="32"/>
          <w:szCs w:val="32"/>
          <w:u w:color="000000"/>
          <w:lang w:val="zh-TW" w:eastAsia="zh-TW"/>
        </w:rPr>
        <w:t>无</w:t>
      </w:r>
    </w:p>
    <w:p>
      <w:pPr>
        <w:pStyle w:val="2"/>
        <w:spacing w:line="606" w:lineRule="exact"/>
        <w:rPr>
          <w:rFonts w:ascii="黑体" w:hAnsi="黑体" w:eastAsia="黑体" w:cs="仿宋_GB2312"/>
          <w:sz w:val="32"/>
          <w:szCs w:val="32"/>
        </w:rPr>
      </w:pPr>
      <w:r>
        <w:rPr>
          <w:rFonts w:hint="eastAsia" w:ascii="黑体" w:hAnsi="黑体" w:eastAsia="黑体" w:cs="仿宋_GB2312"/>
          <w:sz w:val="32"/>
          <w:szCs w:val="32"/>
        </w:rPr>
        <w:t>六、提出标准实施的建议</w:t>
      </w:r>
    </w:p>
    <w:p>
      <w:pPr>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本文件由辽宁省商务厅提出并归口，建议审批发布为推荐性标准，此标准发布后，建议通过省物流协会在全省各市商贸物流企业进行分批标准宣贯培训，鼓励有条件、有能力的商贸物流企业践行绿色物流管理规范。借助于标准的实施来提高企业自身绿色发展水平，改进自身不足，为未来商贸物流企业绿色评价奠定基础，为实现商贸物流行业碳达峰、碳中和奠定基础。</w:t>
      </w:r>
    </w:p>
    <w:p>
      <w:pPr>
        <w:pStyle w:val="2"/>
        <w:spacing w:line="606" w:lineRule="exact"/>
        <w:rPr>
          <w:rFonts w:ascii="黑体" w:hAnsi="黑体" w:eastAsia="黑体" w:cs="仿宋_GB2312"/>
          <w:sz w:val="32"/>
          <w:szCs w:val="32"/>
        </w:rPr>
      </w:pPr>
      <w:r>
        <w:rPr>
          <w:rFonts w:hint="eastAsia" w:ascii="黑体" w:hAnsi="黑体" w:eastAsia="黑体" w:cs="仿宋_GB2312"/>
          <w:sz w:val="32"/>
          <w:szCs w:val="32"/>
        </w:rPr>
        <w:t>七、其他应予说明的事项</w:t>
      </w:r>
    </w:p>
    <w:p>
      <w:pPr>
        <w:ind w:firstLine="640" w:firstLineChars="200"/>
        <w:rPr>
          <w:rFonts w:ascii="方正仿宋_GB2312" w:hAnsi="方正仿宋_GB2312" w:eastAsia="方正仿宋_GB2312" w:cs="方正仿宋_GB2312"/>
          <w:sz w:val="32"/>
          <w:szCs w:val="32"/>
          <w:u w:color="000000"/>
        </w:rPr>
      </w:pPr>
      <w:r>
        <w:rPr>
          <w:rFonts w:hint="eastAsia" w:ascii="方正仿宋_GB2312" w:hAnsi="方正仿宋_GB2312" w:eastAsia="方正仿宋_GB2312" w:cs="方正仿宋_GB2312"/>
          <w:sz w:val="32"/>
          <w:szCs w:val="32"/>
          <w:u w:color="000000"/>
        </w:rPr>
        <w:t>无</w:t>
      </w:r>
    </w:p>
    <w:p>
      <w:pPr>
        <w:rPr>
          <w:rFonts w:ascii="仿宋" w:hAnsi="仿宋" w:eastAsia="仿宋" w:cs="仿宋"/>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4EAC8EC-0A82-41B2-8E2A-56DB89F1E18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PMingLiU">
    <w:panose1 w:val="02020500000000000000"/>
    <w:charset w:val="88"/>
    <w:family w:val="roman"/>
    <w:pitch w:val="default"/>
    <w:sig w:usb0="A00002FF" w:usb1="28CFFCFA" w:usb2="00000016" w:usb3="00000000" w:csb0="00100001"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panose1 w:val="03000509000000000000"/>
    <w:charset w:val="86"/>
    <w:family w:val="auto"/>
    <w:pitch w:val="default"/>
    <w:sig w:usb0="00000001" w:usb1="080E0000" w:usb2="00000000" w:usb3="00000000" w:csb0="00040000" w:csb1="00000000"/>
    <w:embedRegular r:id="rId2" w:fontKey="{4845F0B8-8B2F-4BC5-A645-255BF22AA5ED}"/>
  </w:font>
  <w:font w:name="仿宋_GB2312">
    <w:panose1 w:val="02010609030101010101"/>
    <w:charset w:val="86"/>
    <w:family w:val="modern"/>
    <w:pitch w:val="default"/>
    <w:sig w:usb0="00000001" w:usb1="080E0000" w:usb2="00000000" w:usb3="00000000" w:csb0="00040000" w:csb1="00000000"/>
    <w:embedRegular r:id="rId3" w:fontKey="{5ADB22AE-FBFC-4265-8805-A5220A0ADCC4}"/>
  </w:font>
  <w:font w:name="方正仿宋_GB2312">
    <w:altName w:val="仿宋"/>
    <w:panose1 w:val="00000000000000000000"/>
    <w:charset w:val="00"/>
    <w:family w:val="auto"/>
    <w:pitch w:val="default"/>
    <w:sig w:usb0="00000000" w:usb1="00000000" w:usb2="00000000" w:usb3="00000000" w:csb0="00000000" w:csb1="00000000"/>
    <w:embedRegular r:id="rId4" w:fontKey="{E4B3BD91-9B13-44C5-A212-03B545F2AB04}"/>
  </w:font>
  <w:font w:name="仿宋">
    <w:panose1 w:val="02010609060101010101"/>
    <w:charset w:val="86"/>
    <w:family w:val="auto"/>
    <w:pitch w:val="default"/>
    <w:sig w:usb0="800002BF" w:usb1="38CF7CFA" w:usb2="00000016" w:usb3="00000000" w:csb0="00040001" w:csb1="00000000"/>
    <w:embedRegular r:id="rId5" w:fontKey="{94CAA250-CA1B-4165-9EE9-1E1CDDB99E9C}"/>
  </w:font>
  <w:font w:name="等线">
    <w:altName w:val="Arial Unicode M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Fm/S8feAgAAJAYAAA4AAAAAAAAAAQAgAAAAHwEAAGRycy9lMm9Eb2MueG1sUEsF&#10;BgAAAAAGAAYAWQEAAG8G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M5N2FiNzE5YWRmMTBhOGI0OGNmNWRjMjU3ZmI1ZWUifQ=="/>
  </w:docVars>
  <w:rsids>
    <w:rsidRoot w:val="00080D66"/>
    <w:rsid w:val="00080D66"/>
    <w:rsid w:val="000A4C70"/>
    <w:rsid w:val="000C6C28"/>
    <w:rsid w:val="000F14BF"/>
    <w:rsid w:val="001E724C"/>
    <w:rsid w:val="002556FA"/>
    <w:rsid w:val="00265FC0"/>
    <w:rsid w:val="00273612"/>
    <w:rsid w:val="002773ED"/>
    <w:rsid w:val="002B5394"/>
    <w:rsid w:val="00393F51"/>
    <w:rsid w:val="003C3D77"/>
    <w:rsid w:val="003D43D0"/>
    <w:rsid w:val="00465426"/>
    <w:rsid w:val="00476AF1"/>
    <w:rsid w:val="004A7BE5"/>
    <w:rsid w:val="004F4E2F"/>
    <w:rsid w:val="00506605"/>
    <w:rsid w:val="00514EFE"/>
    <w:rsid w:val="005314B9"/>
    <w:rsid w:val="005C67BC"/>
    <w:rsid w:val="006023DC"/>
    <w:rsid w:val="00637250"/>
    <w:rsid w:val="006B1844"/>
    <w:rsid w:val="007C4089"/>
    <w:rsid w:val="008507EE"/>
    <w:rsid w:val="00896318"/>
    <w:rsid w:val="008D2EB3"/>
    <w:rsid w:val="008E2552"/>
    <w:rsid w:val="00937097"/>
    <w:rsid w:val="009410CD"/>
    <w:rsid w:val="00944BA3"/>
    <w:rsid w:val="00A17FBC"/>
    <w:rsid w:val="00A2413F"/>
    <w:rsid w:val="00AB2BC1"/>
    <w:rsid w:val="00AC52BC"/>
    <w:rsid w:val="00B102FC"/>
    <w:rsid w:val="00B353D2"/>
    <w:rsid w:val="00B42C9B"/>
    <w:rsid w:val="00B97108"/>
    <w:rsid w:val="00BC76D3"/>
    <w:rsid w:val="00C13726"/>
    <w:rsid w:val="00C85FEC"/>
    <w:rsid w:val="00CF36AD"/>
    <w:rsid w:val="00D25B8A"/>
    <w:rsid w:val="00D56E1E"/>
    <w:rsid w:val="00DB7387"/>
    <w:rsid w:val="00F35CC4"/>
    <w:rsid w:val="00F43E5A"/>
    <w:rsid w:val="00F5065E"/>
    <w:rsid w:val="00F66051"/>
    <w:rsid w:val="01C6324B"/>
    <w:rsid w:val="01E64218"/>
    <w:rsid w:val="02822C0A"/>
    <w:rsid w:val="02962EDE"/>
    <w:rsid w:val="115B06EA"/>
    <w:rsid w:val="146C3C63"/>
    <w:rsid w:val="14CD7B51"/>
    <w:rsid w:val="16421E79"/>
    <w:rsid w:val="172C2361"/>
    <w:rsid w:val="1DCA7622"/>
    <w:rsid w:val="1F595D37"/>
    <w:rsid w:val="217A4BBD"/>
    <w:rsid w:val="2241085F"/>
    <w:rsid w:val="29684C67"/>
    <w:rsid w:val="2E1168A9"/>
    <w:rsid w:val="2E617F36"/>
    <w:rsid w:val="36FC292C"/>
    <w:rsid w:val="389C27BE"/>
    <w:rsid w:val="3A683CF4"/>
    <w:rsid w:val="3AE25855"/>
    <w:rsid w:val="3AEA6CCE"/>
    <w:rsid w:val="3E6D427D"/>
    <w:rsid w:val="400819A7"/>
    <w:rsid w:val="41C6001D"/>
    <w:rsid w:val="422B7AE1"/>
    <w:rsid w:val="45154345"/>
    <w:rsid w:val="452A7817"/>
    <w:rsid w:val="466F2815"/>
    <w:rsid w:val="469E4F1C"/>
    <w:rsid w:val="46BA5249"/>
    <w:rsid w:val="48F35D34"/>
    <w:rsid w:val="4B760E1C"/>
    <w:rsid w:val="512A365A"/>
    <w:rsid w:val="547A6209"/>
    <w:rsid w:val="559674D1"/>
    <w:rsid w:val="559A6922"/>
    <w:rsid w:val="5643178C"/>
    <w:rsid w:val="57B355C0"/>
    <w:rsid w:val="59142E88"/>
    <w:rsid w:val="5DFF68CC"/>
    <w:rsid w:val="5FF40044"/>
    <w:rsid w:val="613100ED"/>
    <w:rsid w:val="61BE0112"/>
    <w:rsid w:val="642B3543"/>
    <w:rsid w:val="66461652"/>
    <w:rsid w:val="6D952C1E"/>
    <w:rsid w:val="6DB620A5"/>
    <w:rsid w:val="73F97C4B"/>
    <w:rsid w:val="7400051E"/>
    <w:rsid w:val="75D33839"/>
    <w:rsid w:val="760613AF"/>
    <w:rsid w:val="76530DD9"/>
    <w:rsid w:val="77A3571E"/>
    <w:rsid w:val="7A373152"/>
    <w:rsid w:val="7AD8751B"/>
    <w:rsid w:val="7D3D05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PMingLiU" w:hAnsi="PMingLiU" w:eastAsia="PMingLiU" w:cs="PMingLiU"/>
      <w:sz w:val="48"/>
      <w:szCs w:val="4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customStyle="1" w:styleId="10">
    <w:name w:val="正文 A"/>
    <w:qFormat/>
    <w:uiPriority w:val="0"/>
    <w:pPr>
      <w:widowControl w:val="0"/>
      <w:jc w:val="both"/>
    </w:pPr>
    <w:rPr>
      <w:rFonts w:ascii="Calibri" w:hAnsi="Calibri" w:eastAsia="Arial Unicode MS" w:cs="Arial Unicode MS"/>
      <w:color w:val="000000"/>
      <w:kern w:val="2"/>
      <w:sz w:val="21"/>
      <w:szCs w:val="21"/>
      <w:u w:color="000000"/>
      <w:lang w:val="en-US" w:eastAsia="zh-CN" w:bidi="ar-SA"/>
    </w:rPr>
  </w:style>
  <w:style w:type="paragraph" w:customStyle="1" w:styleId="11">
    <w:name w:val="标准指南"/>
    <w:next w:val="12"/>
    <w:qFormat/>
    <w:uiPriority w:val="0"/>
    <w:pPr>
      <w:keepNext/>
      <w:keepLines/>
      <w:widowControl w:val="0"/>
      <w:spacing w:before="312" w:after="312" w:line="578" w:lineRule="auto"/>
      <w:jc w:val="both"/>
      <w:outlineLvl w:val="0"/>
    </w:pPr>
    <w:rPr>
      <w:rFonts w:ascii="黑体" w:hAnsi="黑体" w:eastAsia="黑体" w:cs="黑体"/>
      <w:color w:val="000000"/>
      <w:kern w:val="44"/>
      <w:sz w:val="21"/>
      <w:szCs w:val="21"/>
      <w:lang w:val="en-US" w:eastAsia="zh-CN" w:bidi="ar-SA"/>
    </w:rPr>
  </w:style>
  <w:style w:type="paragraph" w:customStyle="1" w:styleId="12">
    <w:name w:val="标题 21"/>
    <w:next w:val="10"/>
    <w:qFormat/>
    <w:uiPriority w:val="0"/>
    <w:pPr>
      <w:keepNext/>
      <w:keepLines/>
      <w:widowControl w:val="0"/>
      <w:spacing w:before="260" w:after="260" w:line="416" w:lineRule="auto"/>
      <w:jc w:val="both"/>
      <w:outlineLvl w:val="2"/>
    </w:pPr>
    <w:rPr>
      <w:rFonts w:ascii="等线 Light" w:hAnsi="等线 Light" w:eastAsia="等线 Light" w:cs="等线 Light"/>
      <w:b/>
      <w:bCs/>
      <w:color w:val="000000"/>
      <w:kern w:val="2"/>
      <w:sz w:val="32"/>
      <w:szCs w:val="32"/>
      <w:lang w:val="en-US" w:eastAsia="zh-CN" w:bidi="ar-SA"/>
    </w:rPr>
  </w:style>
  <w:style w:type="paragraph" w:customStyle="1" w:styleId="13">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4554</Words>
  <Characters>4829</Characters>
  <Lines>35</Lines>
  <Paragraphs>9</Paragraphs>
  <TotalTime>58</TotalTime>
  <ScaleCrop>false</ScaleCrop>
  <LinksUpToDate>false</LinksUpToDate>
  <CharactersWithSpaces>4829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2022-10-29T00:05:00Z</dcterms:created>
  <dc:creator>8613889260292</dc:creator>
  <cp:lastModifiedBy>Administrator</cp:lastModifiedBy>
  <cp:lastPrinted>2022-11-03T08:56:42Z</cp:lastPrinted>
  <dcterms:modified xsi:type="dcterms:W3CDTF">2022-11-03T08:58:05Z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25C13C68F4F543A0A3D613C4D78DB246</vt:lpwstr>
  </property>
</Properties>
</file>